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bookmarkStart w:id="0" w:name="_GoBack"/>
      <w:bookmarkEnd w:id="0"/>
      <w:r>
        <w:rPr>
          <w:rFonts w:hint="eastAsia" w:ascii="黑体" w:hAnsi="黑体" w:eastAsia="黑体"/>
          <w:sz w:val="32"/>
          <w:szCs w:val="32"/>
        </w:rPr>
        <w:t>附件2</w:t>
      </w:r>
    </w:p>
    <w:p>
      <w:pPr>
        <w:pStyle w:val="3"/>
        <w:widowControl/>
        <w:spacing w:beforeAutospacing="0" w:afterAutospacing="0" w:line="540"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四川省老龄健康发展中心</w:t>
      </w:r>
    </w:p>
    <w:p>
      <w:pPr>
        <w:pStyle w:val="3"/>
        <w:widowControl/>
        <w:spacing w:beforeAutospacing="0" w:afterAutospacing="0" w:line="540"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印刷定点服务供应商遴选评审表</w:t>
      </w:r>
    </w:p>
    <w:tbl>
      <w:tblPr>
        <w:tblStyle w:val="5"/>
        <w:tblW w:w="893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26"/>
        <w:gridCol w:w="850"/>
        <w:gridCol w:w="2628"/>
        <w:gridCol w:w="916"/>
        <w:gridCol w:w="1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05" w:hRule="atLeast"/>
          <w:jc w:val="center"/>
        </w:trPr>
        <w:tc>
          <w:tcPr>
            <w:tcW w:w="3326" w:type="dxa"/>
            <w:tcBorders>
              <w:top w:val="single" w:color="auto" w:sz="4" w:space="0"/>
              <w:left w:val="single" w:color="auto" w:sz="4" w:space="0"/>
            </w:tcBorders>
            <w:vAlign w:val="center"/>
          </w:tcPr>
          <w:p>
            <w:pPr>
              <w:pStyle w:val="7"/>
              <w:spacing w:line="300" w:lineRule="exact"/>
              <w:ind w:firstLine="0" w:firstLineChars="0"/>
              <w:jc w:val="center"/>
              <w:rPr>
                <w:rFonts w:ascii="黑体" w:hAnsi="黑体" w:eastAsia="黑体" w:cs="黑体"/>
                <w:b/>
                <w:bCs/>
                <w:szCs w:val="21"/>
              </w:rPr>
            </w:pPr>
            <w:r>
              <w:rPr>
                <w:rFonts w:hint="eastAsia" w:ascii="黑体" w:hAnsi="黑体" w:eastAsia="黑体" w:cs="黑体"/>
                <w:b/>
                <w:bCs/>
                <w:szCs w:val="21"/>
              </w:rPr>
              <w:t>评分指标</w:t>
            </w:r>
          </w:p>
        </w:tc>
        <w:tc>
          <w:tcPr>
            <w:tcW w:w="850" w:type="dxa"/>
            <w:tcBorders>
              <w:top w:val="single" w:color="auto" w:sz="4" w:space="0"/>
              <w:left w:val="single" w:color="auto" w:sz="4" w:space="0"/>
            </w:tcBorders>
            <w:vAlign w:val="center"/>
          </w:tcPr>
          <w:p>
            <w:pPr>
              <w:pStyle w:val="7"/>
              <w:spacing w:line="300" w:lineRule="exact"/>
              <w:ind w:firstLine="0" w:firstLineChars="0"/>
              <w:jc w:val="center"/>
              <w:rPr>
                <w:rFonts w:ascii="黑体" w:hAnsi="黑体" w:eastAsia="黑体" w:cs="黑体"/>
                <w:b/>
                <w:bCs/>
                <w:szCs w:val="21"/>
              </w:rPr>
            </w:pPr>
            <w:r>
              <w:rPr>
                <w:rFonts w:hint="eastAsia" w:ascii="黑体" w:hAnsi="黑体" w:eastAsia="黑体" w:cs="黑体"/>
                <w:b/>
                <w:bCs/>
                <w:szCs w:val="21"/>
              </w:rPr>
              <w:t>标准分值（分）</w:t>
            </w:r>
          </w:p>
        </w:tc>
        <w:tc>
          <w:tcPr>
            <w:tcW w:w="2628" w:type="dxa"/>
            <w:vAlign w:val="center"/>
          </w:tcPr>
          <w:p>
            <w:pPr>
              <w:pStyle w:val="7"/>
              <w:spacing w:line="300" w:lineRule="exact"/>
              <w:ind w:firstLine="0" w:firstLineChars="0"/>
              <w:jc w:val="center"/>
              <w:rPr>
                <w:rFonts w:ascii="黑体" w:hAnsi="黑体" w:eastAsia="黑体" w:cs="黑体"/>
                <w:b/>
                <w:bCs/>
                <w:szCs w:val="21"/>
              </w:rPr>
            </w:pPr>
            <w:r>
              <w:rPr>
                <w:rFonts w:hint="eastAsia" w:ascii="黑体" w:hAnsi="黑体" w:eastAsia="黑体" w:cs="黑体"/>
                <w:b/>
                <w:bCs/>
                <w:szCs w:val="21"/>
              </w:rPr>
              <w:t>评分标准</w:t>
            </w:r>
          </w:p>
        </w:tc>
        <w:tc>
          <w:tcPr>
            <w:tcW w:w="916" w:type="dxa"/>
            <w:vAlign w:val="center"/>
          </w:tcPr>
          <w:p>
            <w:pPr>
              <w:pStyle w:val="7"/>
              <w:spacing w:line="300" w:lineRule="exact"/>
              <w:ind w:firstLine="0" w:firstLineChars="0"/>
              <w:jc w:val="center"/>
              <w:rPr>
                <w:rFonts w:ascii="黑体" w:hAnsi="黑体" w:eastAsia="黑体" w:cs="黑体"/>
                <w:b/>
                <w:bCs/>
                <w:szCs w:val="21"/>
              </w:rPr>
            </w:pPr>
            <w:r>
              <w:rPr>
                <w:rFonts w:hint="eastAsia" w:ascii="黑体" w:hAnsi="黑体" w:eastAsia="黑体" w:cs="黑体"/>
                <w:b/>
                <w:bCs/>
                <w:szCs w:val="21"/>
              </w:rPr>
              <w:t>得分（分）</w:t>
            </w:r>
          </w:p>
        </w:tc>
        <w:tc>
          <w:tcPr>
            <w:tcW w:w="1210" w:type="dxa"/>
            <w:vAlign w:val="center"/>
          </w:tcPr>
          <w:p>
            <w:pPr>
              <w:pStyle w:val="7"/>
              <w:spacing w:line="300" w:lineRule="exact"/>
              <w:ind w:firstLine="0" w:firstLineChars="0"/>
              <w:jc w:val="center"/>
              <w:rPr>
                <w:rFonts w:ascii="黑体" w:hAnsi="黑体" w:eastAsia="黑体" w:cs="黑体"/>
                <w:b/>
                <w:bCs/>
                <w:szCs w:val="21"/>
              </w:rPr>
            </w:pPr>
            <w:r>
              <w:rPr>
                <w:rFonts w:hint="eastAsia" w:ascii="黑体" w:hAnsi="黑体" w:eastAsia="黑体" w:cs="黑体"/>
                <w:b/>
                <w:bCs/>
                <w:szCs w:val="21"/>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5" w:hRule="atLeast"/>
          <w:jc w:val="center"/>
        </w:trPr>
        <w:tc>
          <w:tcPr>
            <w:tcW w:w="3326" w:type="dxa"/>
            <w:vAlign w:val="center"/>
          </w:tcPr>
          <w:p>
            <w:pPr>
              <w:pStyle w:val="7"/>
              <w:spacing w:line="320" w:lineRule="exact"/>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一、设备设施、厂房、距离</w:t>
            </w:r>
          </w:p>
        </w:tc>
        <w:tc>
          <w:tcPr>
            <w:tcW w:w="850" w:type="dxa"/>
            <w:vAlign w:val="center"/>
          </w:tcPr>
          <w:p>
            <w:pPr>
              <w:pStyle w:val="7"/>
              <w:spacing w:line="320" w:lineRule="exact"/>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51</w:t>
            </w:r>
          </w:p>
        </w:tc>
        <w:tc>
          <w:tcPr>
            <w:tcW w:w="2628" w:type="dxa"/>
            <w:vAlign w:val="center"/>
          </w:tcPr>
          <w:p>
            <w:pPr>
              <w:pStyle w:val="3"/>
              <w:spacing w:beforeAutospacing="0" w:afterAutospacing="0" w:line="320" w:lineRule="exact"/>
              <w:jc w:val="both"/>
              <w:rPr>
                <w:rFonts w:ascii="仿宋_GB2312" w:hAnsi="仿宋_GB2312" w:eastAsia="仿宋_GB2312" w:cs="仿宋_GB2312"/>
              </w:rPr>
            </w:pPr>
            <w:r>
              <w:rPr>
                <w:rFonts w:hint="eastAsia" w:ascii="仿宋_GB2312" w:hAnsi="仿宋_GB2312" w:eastAsia="仿宋_GB2312" w:cs="仿宋_GB2312"/>
              </w:rPr>
              <w:t>1.有CTP制版机、胶印机、A3彩色数码一体机、彩色印刷机一样得5分，共20分。骑马订机、折页机、压痕机、锁线机、胶包机、模切机、打码机一样得1分，共7分。</w:t>
            </w:r>
          </w:p>
          <w:p>
            <w:pPr>
              <w:pStyle w:val="3"/>
              <w:spacing w:beforeAutospacing="0" w:afterAutospacing="0" w:line="320" w:lineRule="exact"/>
              <w:jc w:val="both"/>
              <w:rPr>
                <w:rFonts w:ascii="仿宋_GB2312" w:hAnsi="仿宋_GB2312" w:eastAsia="仿宋_GB2312" w:cs="仿宋_GB2312"/>
              </w:rPr>
            </w:pPr>
            <w:r>
              <w:rPr>
                <w:rFonts w:hint="eastAsia" w:ascii="仿宋_GB2312" w:hAnsi="仿宋_GB2312" w:eastAsia="仿宋_GB2312" w:cs="仿宋_GB2312"/>
              </w:rPr>
              <w:t>2.提供厂房租赁合同或者所有权证书复印件得3分。</w:t>
            </w:r>
          </w:p>
          <w:p>
            <w:pPr>
              <w:pStyle w:val="3"/>
              <w:tabs>
                <w:tab w:val="left" w:pos="312"/>
              </w:tabs>
              <w:spacing w:beforeAutospacing="0" w:afterAutospacing="0" w:line="320" w:lineRule="exact"/>
              <w:jc w:val="both"/>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为保证响应及时性，厂房地点位于金牛区、武侯区、青羊区、成华区、锦江区、高新区以内得15分。</w:t>
            </w:r>
          </w:p>
          <w:p>
            <w:pPr>
              <w:pStyle w:val="3"/>
              <w:spacing w:beforeAutospacing="0" w:afterAutospacing="0" w:line="320" w:lineRule="exact"/>
              <w:jc w:val="both"/>
              <w:rPr>
                <w:rFonts w:ascii="仿宋_GB2312" w:hAnsi="仿宋_GB2312" w:eastAsia="仿宋_GB2312" w:cs="仿宋_GB2312"/>
              </w:rPr>
            </w:pPr>
            <w:r>
              <w:rPr>
                <w:rFonts w:hint="eastAsia" w:ascii="仿宋_GB2312" w:hAnsi="仿宋_GB2312" w:eastAsia="仿宋_GB2312" w:cs="仿宋_GB2312"/>
                <w:lang w:val="en-US" w:eastAsia="zh-CN"/>
              </w:rPr>
              <w:t>4</w:t>
            </w:r>
            <w:r>
              <w:rPr>
                <w:rFonts w:ascii="仿宋_GB2312" w:hAnsi="仿宋_GB2312" w:eastAsia="仿宋_GB2312" w:cs="仿宋_GB2312"/>
              </w:rPr>
              <w:t>.</w:t>
            </w:r>
            <w:r>
              <w:rPr>
                <w:rFonts w:hint="eastAsia" w:ascii="仿宋_GB2312" w:hAnsi="仿宋_GB2312" w:eastAsia="仿宋_GB2312" w:cs="仿宋_GB2312"/>
              </w:rPr>
              <w:t>提供设备清单、主要人员配置情况表，主要技术人员资质证书每一项2分，共得6分。</w:t>
            </w:r>
          </w:p>
        </w:tc>
        <w:tc>
          <w:tcPr>
            <w:tcW w:w="916" w:type="dxa"/>
            <w:vAlign w:val="center"/>
          </w:tcPr>
          <w:p>
            <w:pPr>
              <w:pStyle w:val="7"/>
              <w:spacing w:line="320" w:lineRule="exact"/>
              <w:ind w:firstLine="0" w:firstLineChars="0"/>
              <w:jc w:val="center"/>
              <w:rPr>
                <w:rFonts w:ascii="仿宋_GB2312" w:hAnsi="仿宋_GB2312" w:eastAsia="仿宋_GB2312" w:cs="仿宋_GB2312"/>
                <w:sz w:val="24"/>
              </w:rPr>
            </w:pPr>
          </w:p>
        </w:tc>
        <w:tc>
          <w:tcPr>
            <w:tcW w:w="1210" w:type="dxa"/>
            <w:vAlign w:val="center"/>
          </w:tcPr>
          <w:p>
            <w:pPr>
              <w:pStyle w:val="3"/>
              <w:spacing w:beforeAutospacing="0" w:afterAutospacing="0" w:line="320" w:lineRule="exact"/>
              <w:jc w:val="both"/>
              <w:rPr>
                <w:rFonts w:hint="eastAsia" w:ascii="仿宋_GB2312" w:hAnsi="仿宋_GB2312" w:eastAsia="仿宋_GB2312" w:cs="仿宋_GB2312"/>
                <w:kern w:val="2"/>
                <w:lang w:eastAsia="zh-CN"/>
              </w:rPr>
            </w:pPr>
            <w:r>
              <w:rPr>
                <w:rFonts w:hint="eastAsia" w:ascii="仿宋_GB2312" w:hAnsi="仿宋_GB2312" w:eastAsia="仿宋_GB2312" w:cs="仿宋_GB2312"/>
                <w:kern w:val="0"/>
                <w:sz w:val="24"/>
              </w:rPr>
              <w:t>设备设施</w:t>
            </w:r>
            <w:r>
              <w:rPr>
                <w:rFonts w:hint="eastAsia" w:ascii="仿宋_GB2312" w:hAnsi="仿宋_GB2312" w:eastAsia="仿宋_GB2312" w:cs="仿宋_GB2312"/>
              </w:rPr>
              <w:t>11种设备需提供现场实物图片并标注其名称，否则不得分</w:t>
            </w:r>
            <w:r>
              <w:rPr>
                <w:rFonts w:hint="eastAsia" w:ascii="仿宋_GB2312" w:hAnsi="仿宋_GB2312" w:eastAsia="仿宋_GB2312" w:cs="仿宋_GB231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jc w:val="center"/>
        </w:trPr>
        <w:tc>
          <w:tcPr>
            <w:tcW w:w="3326" w:type="dxa"/>
            <w:vAlign w:val="center"/>
          </w:tcPr>
          <w:p>
            <w:pPr>
              <w:pStyle w:val="7"/>
              <w:spacing w:line="320" w:lineRule="exact"/>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二、服务承诺及售后服务</w:t>
            </w:r>
          </w:p>
        </w:tc>
        <w:tc>
          <w:tcPr>
            <w:tcW w:w="850" w:type="dxa"/>
            <w:vAlign w:val="center"/>
          </w:tcPr>
          <w:p>
            <w:pPr>
              <w:pStyle w:val="7"/>
              <w:spacing w:line="320" w:lineRule="exact"/>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2628" w:type="dxa"/>
            <w:vAlign w:val="center"/>
          </w:tcPr>
          <w:p>
            <w:p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1.售后服务有专人、专车、质量保证承诺、应急措施及其他售后管理制度的得10分，每缺少一项扣2分，每有一项缺陷或不合理的扣1 分。</w:t>
            </w:r>
          </w:p>
          <w:p>
            <w:p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2.供应商承诺由于自身原因造成拼错版面、少印、错印、图文不清楚、沾染油墨、沾染机油、残次品等质量问题，采购人有权责成成交供应商重新印制且重新印制的全部费用由成交供应商承担得5分。</w:t>
            </w:r>
          </w:p>
        </w:tc>
        <w:tc>
          <w:tcPr>
            <w:tcW w:w="916" w:type="dxa"/>
            <w:vAlign w:val="center"/>
          </w:tcPr>
          <w:p>
            <w:pPr>
              <w:pStyle w:val="7"/>
              <w:spacing w:line="320" w:lineRule="exact"/>
              <w:ind w:firstLine="0" w:firstLineChars="0"/>
              <w:jc w:val="center"/>
              <w:rPr>
                <w:rFonts w:ascii="仿宋_GB2312" w:hAnsi="仿宋_GB2312" w:eastAsia="仿宋_GB2312" w:cs="仿宋_GB2312"/>
                <w:sz w:val="24"/>
              </w:rPr>
            </w:pPr>
          </w:p>
        </w:tc>
        <w:tc>
          <w:tcPr>
            <w:tcW w:w="1210" w:type="dxa"/>
            <w:vAlign w:val="center"/>
          </w:tcPr>
          <w:p>
            <w:pPr>
              <w:pStyle w:val="3"/>
              <w:spacing w:beforeAutospacing="0" w:afterAutospacing="0" w:line="320" w:lineRule="exact"/>
              <w:jc w:val="both"/>
              <w:rPr>
                <w:rFonts w:ascii="仿宋_GB2312" w:hAnsi="仿宋_GB2312" w:eastAsia="仿宋_GB2312" w:cs="仿宋_GB2312"/>
                <w:kern w:val="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0" w:hRule="atLeast"/>
          <w:jc w:val="center"/>
        </w:trPr>
        <w:tc>
          <w:tcPr>
            <w:tcW w:w="3326" w:type="dxa"/>
            <w:vAlign w:val="center"/>
          </w:tcPr>
          <w:p>
            <w:pPr>
              <w:pStyle w:val="7"/>
              <w:spacing w:line="320" w:lineRule="exact"/>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三、工作基础</w:t>
            </w:r>
          </w:p>
        </w:tc>
        <w:tc>
          <w:tcPr>
            <w:tcW w:w="850" w:type="dxa"/>
            <w:vAlign w:val="center"/>
          </w:tcPr>
          <w:p>
            <w:pPr>
              <w:pStyle w:val="7"/>
              <w:spacing w:line="320" w:lineRule="exact"/>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2628" w:type="dxa"/>
            <w:vAlign w:val="center"/>
          </w:tcPr>
          <w:p>
            <w:p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1.供应商2021-2024年度在成都市的类似机关、事业单位提供服务情况。须提供相关服务证明材料，含中标通知书、合同（协议书）等。</w:t>
            </w:r>
          </w:p>
          <w:p>
            <w:p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每提供一个类似机关、事业单位的有效服务证明的得5分，最多得30分。</w:t>
            </w:r>
          </w:p>
          <w:p>
            <w:p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2.提供制作过的宣传品、信封图片，每提供一种得2分，最多得4分。</w:t>
            </w:r>
          </w:p>
        </w:tc>
        <w:tc>
          <w:tcPr>
            <w:tcW w:w="916" w:type="dxa"/>
            <w:vAlign w:val="center"/>
          </w:tcPr>
          <w:p>
            <w:pPr>
              <w:pStyle w:val="7"/>
              <w:spacing w:line="320" w:lineRule="exact"/>
              <w:ind w:firstLine="0" w:firstLineChars="0"/>
              <w:jc w:val="center"/>
              <w:rPr>
                <w:rFonts w:ascii="仿宋_GB2312" w:hAnsi="仿宋_GB2312" w:eastAsia="仿宋_GB2312" w:cs="仿宋_GB2312"/>
                <w:sz w:val="24"/>
              </w:rPr>
            </w:pPr>
          </w:p>
        </w:tc>
        <w:tc>
          <w:tcPr>
            <w:tcW w:w="1210" w:type="dxa"/>
            <w:vAlign w:val="center"/>
          </w:tcPr>
          <w:p>
            <w:pPr>
              <w:pStyle w:val="3"/>
              <w:spacing w:beforeAutospacing="0" w:afterAutospacing="0" w:line="320" w:lineRule="exact"/>
              <w:jc w:val="both"/>
              <w:rPr>
                <w:rFonts w:ascii="仿宋_GB2312" w:hAnsi="仿宋_GB2312" w:eastAsia="仿宋_GB2312" w:cs="仿宋_GB2312"/>
                <w:kern w:val="2"/>
              </w:rPr>
            </w:pPr>
          </w:p>
        </w:tc>
      </w:tr>
    </w:tbl>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评审人签字：</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日期：</w:t>
      </w:r>
    </w:p>
    <w:p>
      <w:pPr>
        <w:spacing w:line="580" w:lineRule="exact"/>
        <w:ind w:firstLine="5446" w:firstLineChars="1702"/>
        <w:rPr>
          <w:rFonts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MzBmZWE3MTFjMTRjOWE5NTJiNGNlOGFjYjQ0M2YifQ=="/>
    <w:docVar w:name="KSO_WPS_MARK_KEY" w:val="2e6af15a-884f-4f89-8fc0-500bbcba95df"/>
  </w:docVars>
  <w:rsids>
    <w:rsidRoot w:val="4C4B3193"/>
    <w:rsid w:val="27D75D91"/>
    <w:rsid w:val="4C4B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qFormat/>
    <w:uiPriority w:val="0"/>
    <w:pPr>
      <w:spacing w:beforeAutospacing="1" w:afterAutospacing="1"/>
      <w:jc w:val="left"/>
    </w:pPr>
    <w:rPr>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2</Pages>
  <Words>569</Words>
  <Characters>596</Characters>
  <Lines>0</Lines>
  <Paragraphs>0</Paragraphs>
  <TotalTime>0</TotalTime>
  <ScaleCrop>false</ScaleCrop>
  <LinksUpToDate>false</LinksUpToDate>
  <CharactersWithSpaces>598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2024-07-15T07:18:00Z</dcterms:created>
  <dc:creator>郑婷</dc:creator>
  <cp:lastModifiedBy>然而</cp:lastModifiedBy>
  <dcterms:modified xsi:type="dcterms:W3CDTF">2024-07-15T07:32:16Z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5FD92EAFA6B0458794FE4081F943757F_13</vt:lpwstr>
  </property>
</Properties>
</file>